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278B4A9">
      <w:pPr>
        <w:pStyle w:val="2"/>
        <w:bidi w:val="0"/>
        <w:rPr>
          <w:rFonts w:hint="default"/>
          <w:lang w:eastAsia="zh-Hans"/>
        </w:rPr>
      </w:pPr>
      <w:r>
        <w:rPr>
          <w:rFonts w:hint="default"/>
          <w:lang w:eastAsia="zh-Hans"/>
        </w:rPr>
        <w:t>功能说明</w:t>
      </w:r>
    </w:p>
    <w:p w14:paraId="4F3F2DC1">
      <w:pPr>
        <w:bidi w:val="0"/>
        <w:rPr>
          <w:rFonts w:hint="default"/>
          <w:lang w:eastAsia="zh-Hans"/>
        </w:rPr>
      </w:pPr>
      <w:r>
        <w:rPr>
          <w:rFonts w:hint="default"/>
          <w:lang w:eastAsia="zh-Hans"/>
        </w:rPr>
        <w:t>燎望车灯OA可将系统组织架构数据同步到佛山E9</w:t>
      </w:r>
    </w:p>
    <w:p w14:paraId="23C55E2F">
      <w:pPr>
        <w:pStyle w:val="2"/>
        <w:bidi w:val="0"/>
        <w:rPr>
          <w:rFonts w:hint="default"/>
          <w:lang w:eastAsia="zh-Hans"/>
        </w:rPr>
      </w:pPr>
      <w:r>
        <w:rPr>
          <w:rFonts w:hint="default"/>
          <w:lang w:eastAsia="zh-Hans"/>
        </w:rPr>
        <w:t>实现原理</w:t>
      </w:r>
    </w:p>
    <w:p w14:paraId="49312801">
      <w:pPr>
        <w:rPr>
          <w:rFonts w:hint="default"/>
          <w:lang w:eastAsia="zh-Hans"/>
        </w:rPr>
      </w:pPr>
      <w:r>
        <w:rPr>
          <w:rFonts w:hint="default"/>
          <w:lang w:eastAsia="zh-Hans"/>
        </w:rPr>
        <w:t>使用E10 HR反向同步功能，调用E9标准组织架构同步接口，同步组织数据</w:t>
      </w:r>
    </w:p>
    <w:p w14:paraId="21AEF881">
      <w:pPr>
        <w:pStyle w:val="2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部署方法</w:t>
      </w:r>
    </w:p>
    <w:p w14:paraId="047F7BE5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在后端HR同步页面中，导入包内的压缩包</w:t>
      </w:r>
      <w:bookmarkStart w:id="0" w:name="_GoBack"/>
      <w:bookmarkEnd w:id="0"/>
    </w:p>
    <w:p w14:paraId="10C88A7A">
      <w:pPr>
        <w:rPr>
          <w:rFonts w:hint="eastAsia"/>
          <w:lang w:val="en-US" w:eastAsia="zh-CN"/>
        </w:rPr>
      </w:pPr>
    </w:p>
    <w:p w14:paraId="7D102C06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6638290" cy="2983230"/>
            <wp:effectExtent l="0" t="0" r="16510" b="1397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2983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2C005E">
      <w:pPr>
        <w:pStyle w:val="2"/>
        <w:bidi w:val="0"/>
        <w:rPr>
          <w:rFonts w:hint="default"/>
          <w:lang w:eastAsia="zh-Hans"/>
        </w:rPr>
      </w:pPr>
      <w:r>
        <w:rPr>
          <w:rFonts w:hint="default"/>
          <w:lang w:eastAsia="zh-Hans"/>
        </w:rPr>
        <w:t>配置说明</w:t>
      </w:r>
    </w:p>
    <w:p w14:paraId="0EA405D4">
      <w:pPr>
        <w:pStyle w:val="3"/>
        <w:bidi w:val="0"/>
        <w:rPr>
          <w:rFonts w:hint="default"/>
          <w:lang w:eastAsia="zh-Hans"/>
        </w:rPr>
      </w:pPr>
      <w:r>
        <w:rPr>
          <w:rFonts w:hint="default"/>
          <w:lang w:eastAsia="zh-Hans"/>
        </w:rPr>
        <w:t>注册许可证</w:t>
      </w:r>
    </w:p>
    <w:p w14:paraId="025D8CA9">
      <w:pPr>
        <w:bidi w:val="0"/>
        <w:rPr>
          <w:rFonts w:hint="default"/>
          <w:lang w:eastAsia="zh-Hans"/>
        </w:rPr>
      </w:pPr>
      <w:r>
        <w:rPr>
          <w:rFonts w:hint="default"/>
          <w:lang w:eastAsia="zh-Hans"/>
        </w:rPr>
        <w:t>如已注册可略过。</w:t>
      </w:r>
    </w:p>
    <w:p w14:paraId="2DBE6CCA">
      <w:pPr>
        <w:bidi w:val="0"/>
        <w:rPr>
          <w:rFonts w:hint="default"/>
          <w:lang w:eastAsia="zh-Hans"/>
        </w:rPr>
      </w:pPr>
      <w:r>
        <w:rPr>
          <w:rFonts w:hint="default"/>
          <w:lang w:eastAsia="zh-Hans"/>
        </w:rPr>
        <w:t xml:space="preserve">调用E9组织同步接口需要进行认证，所以需要先注册许可证 </w:t>
      </w:r>
    </w:p>
    <w:p w14:paraId="30AE0078">
      <w:pPr>
        <w:bidi w:val="0"/>
        <w:rPr>
          <w:rFonts w:hint="default"/>
          <w:lang w:eastAsia="zh-Hans"/>
        </w:rPr>
      </w:pPr>
      <w:r>
        <w:rPr>
          <w:rFonts w:hint="default"/>
          <w:lang w:eastAsia="zh-Hans"/>
        </w:rPr>
        <w:t>需要借助Postman等工具，调用注册接口，如果E10版本较高，可在连接器中进行调试，调用接口</w:t>
      </w:r>
    </w:p>
    <w:p w14:paraId="30EFC839">
      <w:pPr>
        <w:bidi w:val="0"/>
        <w:rPr>
          <w:rFonts w:hint="default"/>
          <w:lang w:eastAsia="zh-Hans"/>
        </w:rPr>
      </w:pPr>
      <w:r>
        <w:rPr>
          <w:rFonts w:hint="default"/>
          <w:lang w:eastAsia="zh-Hans"/>
        </w:rPr>
        <w:t>E10连接器接口调试入口：</w:t>
      </w:r>
    </w:p>
    <w:p w14:paraId="325C83A3">
      <w:pPr>
        <w:bidi w:val="0"/>
        <w:rPr>
          <w:rFonts w:hint="default"/>
          <w:lang w:eastAsia="zh-Hans"/>
        </w:rPr>
      </w:pPr>
    </w:p>
    <w:p w14:paraId="07539475">
      <w:pPr>
        <w:bidi w:val="0"/>
        <w:rPr>
          <w:rFonts w:hint="default"/>
          <w:lang w:val="en-US" w:eastAsia="zh-Hans"/>
        </w:rPr>
      </w:pPr>
      <w:r>
        <w:rPr>
          <w:rFonts w:hint="default"/>
          <w:lang w:val="en-US" w:eastAsia="zh-Hans"/>
        </w:rPr>
        <w:drawing>
          <wp:inline distT="0" distB="0" distL="114300" distR="114300">
            <wp:extent cx="6627495" cy="3950335"/>
            <wp:effectExtent l="0" t="0" r="1905" b="12065"/>
            <wp:docPr id="1" name="图片 1" descr="imag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age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627495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21A632">
      <w:pPr>
        <w:bidi w:val="0"/>
        <w:rPr>
          <w:rFonts w:hint="default"/>
          <w:lang w:val="en-US" w:eastAsia="zh-Hans"/>
        </w:rPr>
      </w:pPr>
    </w:p>
    <w:p w14:paraId="7A188CFE">
      <w:pPr>
        <w:bidi w:val="0"/>
        <w:rPr>
          <w:rFonts w:hint="default"/>
          <w:lang w:val="en-US" w:eastAsia="zh-Hans"/>
        </w:rPr>
      </w:pPr>
      <w:r>
        <w:rPr>
          <w:rFonts w:hint="default"/>
          <w:lang w:val="en-US" w:eastAsia="zh-Hans"/>
        </w:rPr>
        <w:drawing>
          <wp:inline distT="0" distB="0" distL="114300" distR="114300">
            <wp:extent cx="3970655" cy="2978150"/>
            <wp:effectExtent l="0" t="0" r="17145" b="19050"/>
            <wp:docPr id="6" name="图片 6" descr="imag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image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970655" cy="297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759455">
      <w:pPr>
        <w:bidi w:val="0"/>
        <w:rPr>
          <w:rFonts w:hint="default"/>
          <w:lang w:val="en-US" w:eastAsia="zh-Hans"/>
        </w:rPr>
      </w:pPr>
      <w:r>
        <w:rPr>
          <w:rFonts w:hint="default"/>
          <w:lang w:val="en-US" w:eastAsia="zh-Hans"/>
        </w:rPr>
        <w:drawing>
          <wp:inline distT="0" distB="0" distL="114300" distR="114300">
            <wp:extent cx="6630670" cy="2343785"/>
            <wp:effectExtent l="0" t="0" r="24130" b="18415"/>
            <wp:docPr id="7" name="图片 7" descr="imag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image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30670" cy="2343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DB1135">
      <w:pPr>
        <w:bidi w:val="0"/>
        <w:rPr>
          <w:rFonts w:hint="default"/>
        </w:rPr>
      </w:pPr>
    </w:p>
    <w:p w14:paraId="77883B15">
      <w:pPr>
        <w:bidi w:val="0"/>
      </w:pPr>
      <w:r>
        <w:rPr>
          <w:rFonts w:hint="default"/>
        </w:rPr>
        <w:t>接口信息：</w:t>
      </w:r>
    </w:p>
    <w:p w14:paraId="71621B1F">
      <w:pPr>
        <w:bidi w:val="0"/>
      </w:pPr>
      <w:r>
        <w:rPr>
          <w:rFonts w:hint="default"/>
        </w:rPr>
        <w:t>接口地址：E9地址/api/ec/dev/auth/regist</w:t>
      </w:r>
    </w:p>
    <w:p w14:paraId="54CC0331">
      <w:pPr>
        <w:bidi w:val="0"/>
      </w:pPr>
      <w:r>
        <w:rPr>
          <w:rFonts w:hint="default"/>
        </w:rPr>
        <w:t>请求方式：POST</w:t>
      </w:r>
    </w:p>
    <w:p w14:paraId="43736996">
      <w:pPr>
        <w:bidi w:val="0"/>
      </w:pPr>
      <w:r>
        <w:rPr>
          <w:rFonts w:hint="default"/>
        </w:rPr>
        <w:t>head 参数：</w:t>
      </w:r>
    </w:p>
    <w:p w14:paraId="2F9E4EF1">
      <w:pPr>
        <w:keepNext w:val="0"/>
        <w:keepLines w:val="0"/>
        <w:widowControl/>
        <w:numPr>
          <w:ilvl w:val="0"/>
          <w:numId w:val="1"/>
        </w:numPr>
        <w:suppressLineNumbers w:val="0"/>
        <w:ind w:left="420" w:leftChars="0" w:hanging="420" w:firstLineChars="0"/>
        <w:jc w:val="left"/>
      </w:pPr>
      <w:r>
        <w:rPr>
          <w:rFonts w:hint="default"/>
        </w:rPr>
        <w:t>appid：填写E9 AppId，具体获取方法可参考官方文档：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fldChar w:fldCharType="begin"/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instrText xml:space="preserve"> HYPERLINK "https://e-cloudstore.com/doc.html?appId=af09c25938714c26b9736f535ca20fc9" \l "Token%E8%AE%A4%E8%AF%81%E4%BD%BF%E7%94%A8%E6%AD%A5%E9%AA%A4" </w:instrTex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fldChar w:fldCharType="separate"/>
      </w:r>
      <w:r>
        <w:rPr>
          <w:rStyle w:val="8"/>
          <w:rFonts w:ascii="宋体" w:hAnsi="宋体" w:eastAsia="宋体" w:cs="宋体"/>
          <w:sz w:val="24"/>
          <w:szCs w:val="24"/>
        </w:rPr>
        <w:t>泛微在线文档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fldChar w:fldCharType="end"/>
      </w:r>
    </w:p>
    <w:p w14:paraId="4971ADBF">
      <w:pPr>
        <w:numPr>
          <w:ilvl w:val="0"/>
          <w:numId w:val="1"/>
        </w:numPr>
        <w:bidi w:val="0"/>
        <w:ind w:left="420" w:leftChars="0" w:hanging="420" w:firstLineChars="0"/>
      </w:pPr>
      <w:r>
        <w:rPr>
          <w:rFonts w:hint="default"/>
        </w:rPr>
        <w:t>cpk：随便填</w:t>
      </w:r>
    </w:p>
    <w:p w14:paraId="2E8A50E2">
      <w:pPr>
        <w:numPr>
          <w:ilvl w:val="0"/>
          <w:numId w:val="0"/>
        </w:numPr>
        <w:bidi w:val="0"/>
        <w:ind w:leftChars="0"/>
        <w:rPr>
          <w:rFonts w:hint="default"/>
        </w:rPr>
      </w:pPr>
    </w:p>
    <w:p w14:paraId="41FC432B">
      <w:pPr>
        <w:bidi w:val="0"/>
      </w:pPr>
      <w:r>
        <w:rPr>
          <w:lang w:val="en-US" w:eastAsia="zh-CN"/>
        </w:rPr>
        <w:t>调用后取接口返回的spk 和 secret</w:t>
      </w:r>
      <w:r>
        <w:rPr>
          <w:rFonts w:hint="default"/>
          <w:lang w:val="en-US" w:eastAsia="zh-CN"/>
        </w:rPr>
        <w:t> ，复制粘贴到 E9_SPK 常量中和 E9_SECRET 常量中</w:t>
      </w:r>
      <w:r>
        <w:rPr>
          <w:rFonts w:hint="eastAsia"/>
          <w:lang w:val="en-US" w:eastAsia="zh-CN"/>
        </w:rPr>
        <w:t>（常量入口见下方）</w:t>
      </w:r>
    </w:p>
    <w:p w14:paraId="6554A1F5">
      <w:pPr>
        <w:bidi w:val="0"/>
        <w:rPr>
          <w:rFonts w:hint="default"/>
          <w:lang w:val="en-US" w:eastAsia="zh-Hans"/>
        </w:rPr>
      </w:pPr>
    </w:p>
    <w:p w14:paraId="2BCB510D">
      <w:pPr>
        <w:pStyle w:val="3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常量配置</w:t>
      </w:r>
    </w:p>
    <w:p w14:paraId="228C80B6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常量入口：</w:t>
      </w:r>
    </w:p>
    <w:p w14:paraId="44E17E4A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6645910" cy="4123055"/>
            <wp:effectExtent l="0" t="0" r="8890" b="17145"/>
            <wp:docPr id="1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123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8AC87D">
      <w:pPr>
        <w:bidi w:val="0"/>
        <w:rPr>
          <w:rFonts w:hint="default"/>
        </w:rPr>
      </w:pPr>
    </w:p>
    <w:p w14:paraId="65D030C5">
      <w:pPr>
        <w:numPr>
          <w:ilvl w:val="0"/>
          <w:numId w:val="0"/>
        </w:numPr>
        <w:bidi w:val="0"/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常量配置如下：</w:t>
      </w:r>
    </w:p>
    <w:p w14:paraId="57C8AC71">
      <w:pPr>
        <w:numPr>
          <w:ilvl w:val="0"/>
          <w:numId w:val="0"/>
        </w:numPr>
        <w:bidi w:val="0"/>
        <w:ind w:leftChars="0"/>
        <w:rPr>
          <w:rFonts w:hint="default"/>
          <w:lang w:val="en-US" w:eastAsia="zh-CN"/>
        </w:rPr>
      </w:pPr>
    </w:p>
    <w:p w14:paraId="5E892F5D">
      <w:pPr>
        <w:numPr>
          <w:ilvl w:val="0"/>
          <w:numId w:val="1"/>
        </w:numPr>
        <w:bidi w:val="0"/>
        <w:ind w:left="420" w:leftChars="0" w:hanging="420" w:firstLineChars="0"/>
        <w:rPr>
          <w:rFonts w:hint="default"/>
          <w:lang w:val="en-US" w:eastAsia="zh-Hans"/>
        </w:rPr>
      </w:pPr>
      <w:r>
        <w:rPr>
          <w:rFonts w:hint="default"/>
        </w:rPr>
        <w:t>E9岗位编码</w:t>
      </w:r>
      <w:r>
        <w:rPr>
          <w:rFonts w:hint="eastAsia"/>
          <w:lang w:eastAsia="zh-CN"/>
        </w:rPr>
        <w:t>：</w:t>
      </w:r>
      <w:r>
        <w:rPr>
          <w:rFonts w:hint="default"/>
        </w:rPr>
        <w:t>e9 岗位编码固定为1个，取E9任意岗位编码配置到该常量中</w:t>
      </w:r>
    </w:p>
    <w:p w14:paraId="01932318">
      <w:pPr>
        <w:numPr>
          <w:ilvl w:val="0"/>
          <w:numId w:val="1"/>
        </w:numPr>
        <w:bidi w:val="0"/>
        <w:ind w:left="420" w:leftChars="0" w:hanging="420" w:firstLineChars="0"/>
        <w:rPr>
          <w:lang w:val="en-US" w:eastAsia="zh-CN"/>
        </w:rPr>
      </w:pPr>
      <w:r>
        <w:rPr>
          <w:lang w:val="en-US" w:eastAsia="zh-CN"/>
        </w:rPr>
        <w:t>最上级分部编码</w:t>
      </w:r>
      <w:r>
        <w:rPr>
          <w:rFonts w:hint="eastAsia"/>
          <w:lang w:val="en-US" w:eastAsia="zh-CN"/>
        </w:rPr>
        <w:t>：取当前系统组织架构最上级分部编码</w:t>
      </w:r>
    </w:p>
    <w:p w14:paraId="7775F583">
      <w:pPr>
        <w:numPr>
          <w:ilvl w:val="0"/>
          <w:numId w:val="1"/>
        </w:numPr>
        <w:ind w:left="420" w:leftChars="0" w:hanging="420" w:firstLineChars="0"/>
        <w:rPr>
          <w:rFonts w:hint="default"/>
        </w:rPr>
      </w:pPr>
      <w:r>
        <w:rPr>
          <w:rFonts w:hint="eastAsia"/>
          <w:lang w:val="en-US" w:eastAsia="zh-CN"/>
        </w:rPr>
        <w:t>E9组织同步佛山照明总部编码</w:t>
      </w:r>
      <w:r>
        <w:rPr>
          <w:rFonts w:hint="eastAsia"/>
          <w:lang w:val="en-US" w:eastAsia="zh-CN"/>
        </w:rPr>
        <w:tab/>
      </w:r>
      <w:r>
        <w:rPr>
          <w:rFonts w:hint="eastAsia"/>
          <w:lang w:val="en-US" w:eastAsia="zh-CN"/>
        </w:rPr>
        <w:t>：取</w:t>
      </w:r>
      <w:r>
        <w:rPr>
          <w:rFonts w:hint="default"/>
          <w:lang w:val="en-US" w:eastAsia="zh-CN"/>
        </w:rPr>
        <w:t>e</w:t>
      </w:r>
      <w:r>
        <w:rPr>
          <w:rFonts w:hint="eastAsia"/>
          <w:lang w:val="en-US" w:eastAsia="zh-CN"/>
        </w:rPr>
        <w:t>9系统中“佛山照明本部及分子公司”分部编码，也就是e</w:t>
      </w:r>
      <w:r>
        <w:rPr>
          <w:rFonts w:hint="default"/>
          <w:lang w:val="en-US" w:eastAsia="zh-CN"/>
        </w:rPr>
        <w:t>10</w:t>
      </w:r>
      <w:r>
        <w:rPr>
          <w:rFonts w:hint="eastAsia"/>
          <w:lang w:val="en-US" w:eastAsia="zh-CN"/>
        </w:rPr>
        <w:t>系统组织架构最上级分部在e</w:t>
      </w:r>
      <w:r>
        <w:rPr>
          <w:rFonts w:hint="default"/>
          <w:lang w:val="en-US" w:eastAsia="zh-CN"/>
        </w:rPr>
        <w:t>9</w:t>
      </w:r>
      <w:r>
        <w:rPr>
          <w:rFonts w:hint="eastAsia"/>
          <w:lang w:val="en-US" w:eastAsia="zh-CN"/>
        </w:rPr>
        <w:t>系统中对应的上级分部</w:t>
      </w:r>
    </w:p>
    <w:p w14:paraId="63D1369E">
      <w:pPr>
        <w:numPr>
          <w:ilvl w:val="0"/>
          <w:numId w:val="1"/>
        </w:numPr>
        <w:ind w:left="420" w:leftChars="0" w:hanging="420" w:firstLineChars="0"/>
        <w:rPr>
          <w:rFonts w:hint="default"/>
        </w:rPr>
      </w:pPr>
      <w:r>
        <w:rPr>
          <w:rFonts w:hint="eastAsia"/>
          <w:lang w:val="en-US" w:eastAsia="zh-CN"/>
        </w:rPr>
        <w:t>E</w:t>
      </w:r>
      <w:r>
        <w:rPr>
          <w:rFonts w:hint="default"/>
          <w:lang w:val="en-US" w:eastAsia="zh-CN"/>
        </w:rPr>
        <w:t>9_APPID</w:t>
      </w:r>
      <w:r>
        <w:rPr>
          <w:rFonts w:hint="eastAsia"/>
          <w:lang w:val="en-US" w:eastAsia="zh-CN"/>
        </w:rPr>
        <w:t>：e</w:t>
      </w:r>
      <w:r>
        <w:rPr>
          <w:rFonts w:hint="default"/>
          <w:lang w:val="en-US" w:eastAsia="zh-CN"/>
        </w:rPr>
        <w:t>9</w:t>
      </w:r>
      <w:r>
        <w:rPr>
          <w:rFonts w:hint="eastAsia"/>
          <w:lang w:val="en-US" w:eastAsia="zh-CN"/>
        </w:rPr>
        <w:t>系统的app</w:t>
      </w:r>
      <w:r>
        <w:rPr>
          <w:rFonts w:hint="default"/>
          <w:lang w:val="en-US" w:eastAsia="zh-CN"/>
        </w:rPr>
        <w:t>Id</w:t>
      </w:r>
    </w:p>
    <w:p w14:paraId="409A8602">
      <w:pPr>
        <w:numPr>
          <w:ilvl w:val="0"/>
          <w:numId w:val="1"/>
        </w:numPr>
        <w:ind w:left="420" w:leftChars="0" w:hanging="420" w:firstLineChars="0"/>
        <w:rPr>
          <w:rFonts w:hint="default"/>
        </w:rPr>
      </w:pPr>
      <w:r>
        <w:rPr>
          <w:rFonts w:hint="default"/>
          <w:lang w:val="en-US"/>
        </w:rPr>
        <w:t>E</w:t>
      </w:r>
      <w:r>
        <w:rPr>
          <w:rFonts w:hint="eastAsia"/>
          <w:lang w:val="en-US" w:eastAsia="zh-CN"/>
        </w:rPr>
        <w:t>9</w:t>
      </w:r>
      <w:r>
        <w:rPr>
          <w:rFonts w:hint="default"/>
          <w:lang w:val="en-US" w:eastAsia="zh-CN"/>
        </w:rPr>
        <w:t>_SPK</w:t>
      </w:r>
      <w:r>
        <w:rPr>
          <w:rFonts w:hint="eastAsia"/>
          <w:lang w:val="en-US" w:eastAsia="zh-CN"/>
        </w:rPr>
        <w:t>：上一步注册许可证接口返回的spk</w:t>
      </w:r>
    </w:p>
    <w:p w14:paraId="754C1EE7">
      <w:pPr>
        <w:numPr>
          <w:ilvl w:val="0"/>
          <w:numId w:val="1"/>
        </w:numPr>
        <w:ind w:left="420" w:leftChars="0" w:hanging="420" w:firstLineChars="0"/>
        <w:rPr>
          <w:rFonts w:hint="default"/>
        </w:rPr>
      </w:pPr>
      <w:r>
        <w:rPr>
          <w:rFonts w:hint="eastAsia"/>
          <w:lang w:val="en-US" w:eastAsia="zh-CN"/>
        </w:rPr>
        <w:t>E</w:t>
      </w:r>
      <w:r>
        <w:rPr>
          <w:rFonts w:hint="default"/>
          <w:lang w:val="en-US" w:eastAsia="zh-CN"/>
        </w:rPr>
        <w:t>9_SECRET</w:t>
      </w:r>
      <w:r>
        <w:rPr>
          <w:rFonts w:hint="eastAsia"/>
          <w:lang w:val="en-US" w:eastAsia="zh-CN"/>
        </w:rPr>
        <w:t>：上一部注册许可证接口返回的se</w:t>
      </w:r>
      <w:r>
        <w:rPr>
          <w:rFonts w:hint="default"/>
          <w:lang w:val="en-US" w:eastAsia="zh-CN"/>
        </w:rPr>
        <w:t>cret</w:t>
      </w:r>
    </w:p>
    <w:p w14:paraId="0C8EAE63">
      <w:pPr>
        <w:pStyle w:val="2"/>
        <w:bidi w:val="0"/>
      </w:pPr>
      <w:r>
        <w:rPr>
          <w:rFonts w:hint="default"/>
        </w:rPr>
        <w:t>检查动作流</w:t>
      </w:r>
    </w:p>
    <w:p w14:paraId="300984D5">
      <w:pPr>
        <w:bidi w:val="0"/>
        <w:rPr>
          <w:lang w:val="en-US" w:eastAsia="zh-CN"/>
        </w:rPr>
      </w:pPr>
      <w:r>
        <w:rPr>
          <w:lang w:val="en-US" w:eastAsia="zh-CN"/>
        </w:rPr>
        <w:t>导入HR同步后可能动作流中的E9认证连接器配置会丢失，如果丢失需要重新配置连接器。</w:t>
      </w:r>
    </w:p>
    <w:p w14:paraId="15FA2AEC">
      <w:pPr>
        <w:bidi w:val="0"/>
        <w:rPr>
          <w:lang w:val="en-US" w:eastAsia="zh-CN"/>
        </w:rPr>
      </w:pPr>
    </w:p>
    <w:p w14:paraId="3903F270">
      <w:pPr>
        <w:bidi w:val="0"/>
        <w:rPr>
          <w:rFonts w:hint="default"/>
          <w:lang w:val="en-US" w:eastAsia="zh-Hans"/>
        </w:rPr>
      </w:pPr>
      <w:r>
        <w:rPr>
          <w:rFonts w:hint="default"/>
          <w:lang w:val="en-US" w:eastAsia="zh-Hans"/>
        </w:rPr>
        <w:drawing>
          <wp:inline distT="0" distB="0" distL="114300" distR="114300">
            <wp:extent cx="6644640" cy="4261485"/>
            <wp:effectExtent l="0" t="0" r="10160" b="5715"/>
            <wp:docPr id="9" name="图片 9" descr="image3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image332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44640" cy="4261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EA3CDE">
      <w:pPr>
        <w:bidi w:val="0"/>
        <w:rPr>
          <w:rFonts w:hint="default"/>
          <w:lang w:val="en-US" w:eastAsia="zh-Hans"/>
        </w:rPr>
      </w:pPr>
    </w:p>
    <w:p w14:paraId="3803A025">
      <w:pPr>
        <w:bidi w:val="0"/>
        <w:rPr>
          <w:rFonts w:hint="default"/>
          <w:lang w:val="en-US" w:eastAsia="zh-Hans"/>
        </w:rPr>
      </w:pPr>
      <w:r>
        <w:rPr>
          <w:rFonts w:hint="default"/>
          <w:lang w:val="en-US" w:eastAsia="zh-Hans"/>
        </w:rPr>
        <w:drawing>
          <wp:inline distT="0" distB="0" distL="114300" distR="114300">
            <wp:extent cx="4142740" cy="3175000"/>
            <wp:effectExtent l="0" t="0" r="22860" b="0"/>
            <wp:docPr id="10" name="图片 10" descr="image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image12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142740" cy="317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01E32A">
      <w:pPr>
        <w:bidi w:val="0"/>
        <w:rPr>
          <w:rFonts w:hint="default"/>
          <w:lang w:val="en-US" w:eastAsia="zh-Hans"/>
        </w:rPr>
      </w:pPr>
    </w:p>
    <w:p w14:paraId="1F11F6E7">
      <w:pPr>
        <w:pStyle w:val="2"/>
        <w:bidi w:val="0"/>
      </w:pPr>
      <w:r>
        <w:rPr>
          <w:rFonts w:hint="default"/>
        </w:rPr>
        <w:t>同步注意事项</w:t>
      </w:r>
    </w:p>
    <w:p w14:paraId="0A316B3A">
      <w:pPr>
        <w:bidi w:val="0"/>
        <w:rPr>
          <w:rFonts w:hint="default"/>
        </w:rPr>
      </w:pPr>
      <w:r>
        <w:rPr>
          <w:rFonts w:hint="default"/>
        </w:rPr>
        <w:t>之所以要拆分为分部、部门、人员这3个同步，就是一起同步的话它是设定不了同步顺序的， 如果先同步了部门再同步分部，则部门就会没有在对应分部下，定时同步设置需要设置同步分部的时间在前， 部门在后，再到人员</w:t>
      </w:r>
    </w:p>
    <w:p w14:paraId="568FD4FB">
      <w:pPr>
        <w:bidi w:val="0"/>
        <w:rPr>
          <w:rFonts w:hint="default"/>
        </w:rPr>
      </w:pPr>
    </w:p>
    <w:p w14:paraId="3F6F50D4">
      <w:pPr>
        <w:bidi w:val="0"/>
        <w:rPr>
          <w:rFonts w:hint="default"/>
          <w:lang w:val="en-US" w:eastAsia="zh-Hans"/>
        </w:rPr>
      </w:pPr>
    </w:p>
    <w:sectPr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Hiragino Sans GB W3">
    <w:panose1 w:val="020B0300000000000000"/>
    <w:charset w:val="86"/>
    <w:family w:val="auto"/>
    <w:pitch w:val="default"/>
    <w:sig w:usb0="A00002BF" w:usb1="1ACF7CFA" w:usb2="00000016" w:usb3="00000000" w:csb0="00060007" w:csb1="00000000"/>
  </w:font>
  <w:font w:name="Hiragino Sans GB W6">
    <w:panose1 w:val="020B0300000000000000"/>
    <w:charset w:val="86"/>
    <w:family w:val="auto"/>
    <w:pitch w:val="default"/>
    <w:sig w:usb0="A00002BF" w:usb1="1ACF7CFA" w:usb2="00000016" w:usb3="00000000" w:csb0="00060007" w:csb1="00000000"/>
  </w:font>
  <w:font w:name="冬青黑体简体中文 W6">
    <w:panose1 w:val="020B0300000000000000"/>
    <w:charset w:val="86"/>
    <w:family w:val="auto"/>
    <w:pitch w:val="default"/>
    <w:sig w:usb0="A00002BF" w:usb1="1ACF7CFA" w:usb2="00000016" w:usb3="00000000" w:csb0="00060007" w:csb1="00000000"/>
  </w:font>
  <w:font w:name="Heiti SC Medium">
    <w:panose1 w:val="02000000000000000000"/>
    <w:charset w:val="86"/>
    <w:family w:val="auto"/>
    <w:pitch w:val="default"/>
    <w:sig w:usb0="8000002F" w:usb1="0800004A" w:usb2="00000000" w:usb3="00000000" w:csb0="203E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  <w:font w:name="PingFang SC">
    <w:panose1 w:val="020B0400000000000000"/>
    <w:charset w:val="86"/>
    <w:family w:val="auto"/>
    <w:pitch w:val="default"/>
    <w:sig w:usb0="A00002FF" w:usb1="7ACFFDFB" w:usb2="00000017" w:usb3="00000000" w:csb0="00040001" w:csb1="00000000"/>
  </w:font>
  <w:font w:name="Tahoma">
    <w:panose1 w:val="020B0604030504040204"/>
    <w:charset w:val="00"/>
    <w:family w:val="auto"/>
    <w:pitch w:val="default"/>
    <w:sig w:usb0="E1002A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FF827E5"/>
    <w:multiLevelType w:val="singleLevel"/>
    <w:tmpl w:val="FFF827E5"/>
    <w:lvl w:ilvl="0" w:tentative="0">
      <w:start w:val="1"/>
      <w:numFmt w:val="bullet"/>
      <w:lvlText w:val="○"/>
      <w:lvlJc w:val="left"/>
      <w:pPr>
        <w:ind w:left="420" w:leftChars="0" w:hanging="420" w:firstLineChars="0"/>
      </w:pPr>
      <w:rPr>
        <w:rFonts w:hint="default" w:ascii="Arial" w:hAnsi="Arial" w:cs="Arial"/>
        <w:sz w:val="18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95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56FC9EA"/>
    <w:rsid w:val="256FC9EA"/>
    <w:rsid w:val="3FF749C4"/>
    <w:rsid w:val="5EFBD4D9"/>
    <w:rsid w:val="5F6FC9F2"/>
    <w:rsid w:val="5FF2EB1B"/>
    <w:rsid w:val="76BD9562"/>
    <w:rsid w:val="77FD7375"/>
    <w:rsid w:val="7ABD2945"/>
    <w:rsid w:val="7E7C0526"/>
    <w:rsid w:val="AEF7CFDC"/>
    <w:rsid w:val="B8DF0CC6"/>
    <w:rsid w:val="CBFDD492"/>
    <w:rsid w:val="D6EFF5B3"/>
    <w:rsid w:val="E66ED462"/>
    <w:rsid w:val="E77F7606"/>
    <w:rsid w:val="EFA74ACD"/>
    <w:rsid w:val="F465D05E"/>
    <w:rsid w:val="F5FF41C4"/>
    <w:rsid w:val="F6BA10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napToGrid w:val="0"/>
      <w:jc w:val="both"/>
    </w:pPr>
    <w:rPr>
      <w:rFonts w:eastAsia="Hiragino Sans GB W3" w:asciiTheme="minorAscii" w:hAnsiTheme="minorAscii" w:cstheme="minorBidi"/>
      <w:kern w:val="2"/>
      <w:sz w:val="18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pBdr>
        <w:top w:val="none" w:color="auto" w:sz="0" w:space="1"/>
        <w:left w:val="none" w:color="auto" w:sz="0" w:space="4"/>
        <w:bottom w:val="single" w:color="D7D7D7" w:themeColor="background1" w:themeShade="D8" w:sz="4" w:space="1"/>
        <w:right w:val="none" w:color="auto" w:sz="0" w:space="4"/>
      </w:pBdr>
      <w:snapToGrid w:val="0"/>
      <w:spacing w:before="280" w:beforeLines="0" w:beforeAutospacing="0" w:after="280" w:afterLines="0" w:afterAutospacing="0" w:line="240" w:lineRule="auto"/>
      <w:outlineLvl w:val="0"/>
    </w:pPr>
    <w:rPr>
      <w:rFonts w:eastAsia="Hiragino Sans GB W6"/>
      <w:b/>
      <w:kern w:val="44"/>
      <w:sz w:val="30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napToGrid w:val="0"/>
      <w:spacing w:before="260" w:beforeLines="0" w:beforeAutospacing="0" w:after="260" w:afterLines="0" w:afterAutospacing="0" w:line="240" w:lineRule="auto"/>
      <w:outlineLvl w:val="1"/>
    </w:pPr>
    <w:rPr>
      <w:rFonts w:ascii="Arial" w:hAnsi="Arial" w:eastAsia="冬青黑体简体中文 W6"/>
      <w:b/>
      <w:sz w:val="28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snapToGrid w:val="0"/>
      <w:spacing w:before="160" w:beforeLines="0" w:beforeAutospacing="0" w:after="160" w:afterLines="0" w:afterAutospacing="0" w:line="240" w:lineRule="auto"/>
      <w:outlineLvl w:val="2"/>
    </w:pPr>
    <w:rPr>
      <w:rFonts w:eastAsia="Heiti SC Medium"/>
      <w:b/>
      <w:color w:val="404040" w:themeColor="text1" w:themeTint="BF"/>
      <w:sz w:val="24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default="1" w:styleId="7">
    <w:name w:val="Default Paragraph Font"/>
    <w:semiHidden/>
    <w:uiPriority w:val="0"/>
  </w:style>
  <w:style w:type="table" w:default="1" w:styleId="6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8">
    <w:name w:val="Hyperlink"/>
    <w:basedOn w:val="7"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numbering" Target="numbering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0</Words>
  <Characters>0</Characters>
  <Lines>0</Lines>
  <Paragraphs>0</Paragraphs>
  <TotalTime>4</TotalTime>
  <ScaleCrop>false</ScaleCrop>
  <LinksUpToDate>false</LinksUpToDate>
  <CharactersWithSpaces>0</CharactersWithSpaces>
  <Application>WPS Office_12.1.24031.24031_F1E327BC-269C-435d-A152-05C5408002CA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2023-07-13T23:49:00Z</dcterms:created>
  <dc:creator>△</dc:creator>
  <cp:lastModifiedBy>△</cp:lastModifiedBy>
  <dcterms:modified xsi:type="dcterms:W3CDTF">2026-02-27T08:51:37Z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2052-12.1.24031.24031</vt:lpwstr>
  </property>
  <property fmtid="{D5CDD505-2E9C-101B-9397-08002B2CF9AE}" pid="3" name="ICV">
    <vt:lpwstr>DAE69D46EA4D7AD50D5BAE643C90A8B3_41</vt:lpwstr>
  </property>
</Properties>
</file>